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97" w:rsidRPr="00551B38" w:rsidRDefault="00CF2097" w:rsidP="00CF2097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551B38">
        <w:rPr>
          <w:rFonts w:asciiTheme="minorHAnsi" w:hAnsiTheme="minorHAnsi"/>
          <w:b/>
          <w:sz w:val="28"/>
          <w:szCs w:val="28"/>
        </w:rPr>
        <w:t xml:space="preserve">SLP </w:t>
      </w:r>
      <w:r w:rsidR="003915AB" w:rsidRPr="00551B38">
        <w:rPr>
          <w:rFonts w:asciiTheme="minorHAnsi" w:hAnsiTheme="minorHAnsi"/>
          <w:b/>
          <w:sz w:val="28"/>
          <w:szCs w:val="28"/>
        </w:rPr>
        <w:t xml:space="preserve">Continuing Education </w:t>
      </w:r>
      <w:r w:rsidRPr="00551B38">
        <w:rPr>
          <w:rFonts w:asciiTheme="minorHAnsi" w:hAnsiTheme="minorHAnsi"/>
          <w:b/>
          <w:sz w:val="28"/>
          <w:szCs w:val="28"/>
        </w:rPr>
        <w:t>Requirements</w:t>
      </w:r>
    </w:p>
    <w:p w:rsidR="00CF2097" w:rsidRDefault="00CF2097" w:rsidP="00CF2097">
      <w:pPr>
        <w:jc w:val="center"/>
        <w:rPr>
          <w:rFonts w:asciiTheme="minorHAnsi" w:hAnsiTheme="minorHAnsi"/>
        </w:rPr>
      </w:pPr>
    </w:p>
    <w:p w:rsidR="00CF2097" w:rsidRDefault="00CF2097" w:rsidP="00CF20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Many </w:t>
      </w:r>
      <w:r w:rsidR="00B15BF9">
        <w:rPr>
          <w:rFonts w:asciiTheme="minorHAnsi" w:hAnsiTheme="minorHAnsi"/>
        </w:rPr>
        <w:t xml:space="preserve">special education administrators are asked to support their </w:t>
      </w:r>
      <w:r>
        <w:rPr>
          <w:rFonts w:asciiTheme="minorHAnsi" w:hAnsiTheme="minorHAnsi"/>
        </w:rPr>
        <w:t xml:space="preserve">speech language pathologists </w:t>
      </w:r>
      <w:r w:rsidR="00B15BF9">
        <w:rPr>
          <w:rFonts w:asciiTheme="minorHAnsi" w:hAnsiTheme="minorHAnsi"/>
        </w:rPr>
        <w:t>obtain the continuing education hours required to renew both their s</w:t>
      </w:r>
      <w:r w:rsidRPr="00CF2097">
        <w:rPr>
          <w:rFonts w:asciiTheme="minorHAnsi" w:hAnsiTheme="minorHAnsi"/>
        </w:rPr>
        <w:t xml:space="preserve">tate SLP license </w:t>
      </w:r>
      <w:r w:rsidR="00B15BF9">
        <w:rPr>
          <w:rFonts w:asciiTheme="minorHAnsi" w:hAnsiTheme="minorHAnsi"/>
        </w:rPr>
        <w:t>(</w:t>
      </w:r>
      <w:r w:rsidRPr="00CF2097">
        <w:rPr>
          <w:rFonts w:asciiTheme="minorHAnsi" w:hAnsiTheme="minorHAnsi"/>
        </w:rPr>
        <w:t>issued by the Board of Healing Arts</w:t>
      </w:r>
      <w:r w:rsidR="00B15BF9">
        <w:rPr>
          <w:rFonts w:asciiTheme="minorHAnsi" w:hAnsiTheme="minorHAnsi"/>
        </w:rPr>
        <w:t xml:space="preserve">) and their </w:t>
      </w:r>
      <w:r w:rsidR="000748B4">
        <w:rPr>
          <w:rFonts w:asciiTheme="minorHAnsi" w:hAnsiTheme="minorHAnsi"/>
        </w:rPr>
        <w:t xml:space="preserve">Certificate of Clinical Competence issued by the American Speech Language Hearing Association </w:t>
      </w:r>
      <w:r w:rsidR="00B15BF9">
        <w:rPr>
          <w:rFonts w:asciiTheme="minorHAnsi" w:hAnsiTheme="minorHAnsi"/>
        </w:rPr>
        <w:t xml:space="preserve">(CCC).  </w:t>
      </w:r>
      <w:r w:rsidR="000748B4">
        <w:rPr>
          <w:rFonts w:asciiTheme="minorHAnsi" w:hAnsiTheme="minorHAnsi"/>
        </w:rPr>
        <w:t xml:space="preserve">The following information summarizes the continuing education requirements for these credentials.  </w:t>
      </w:r>
    </w:p>
    <w:p w:rsidR="000748B4" w:rsidRDefault="000748B4" w:rsidP="00CF2097">
      <w:pPr>
        <w:rPr>
          <w:rFonts w:asciiTheme="minorHAnsi" w:hAnsiTheme="minorHAnsi"/>
        </w:rPr>
      </w:pPr>
    </w:p>
    <w:p w:rsidR="00584674" w:rsidRPr="00CF2097" w:rsidRDefault="00584674" w:rsidP="00CF2097">
      <w:pPr>
        <w:rPr>
          <w:rFonts w:asciiTheme="minorHAnsi" w:hAnsiTheme="minorHAnsi"/>
        </w:rPr>
      </w:pPr>
      <w:r w:rsidRPr="003915AB">
        <w:rPr>
          <w:rFonts w:asciiTheme="minorHAnsi" w:hAnsiTheme="minorHAnsi"/>
          <w:b/>
        </w:rPr>
        <w:t>State</w:t>
      </w:r>
      <w:r w:rsidR="00CF2097" w:rsidRPr="003915AB">
        <w:rPr>
          <w:rFonts w:asciiTheme="minorHAnsi" w:hAnsiTheme="minorHAnsi"/>
          <w:b/>
        </w:rPr>
        <w:t xml:space="preserve"> </w:t>
      </w:r>
      <w:r w:rsidR="000748B4" w:rsidRPr="003915AB">
        <w:rPr>
          <w:rFonts w:asciiTheme="minorHAnsi" w:hAnsiTheme="minorHAnsi"/>
          <w:b/>
        </w:rPr>
        <w:t xml:space="preserve">SLP </w:t>
      </w:r>
      <w:r w:rsidRPr="003915AB">
        <w:rPr>
          <w:rFonts w:asciiTheme="minorHAnsi" w:hAnsiTheme="minorHAnsi"/>
          <w:b/>
        </w:rPr>
        <w:t>licensure</w:t>
      </w:r>
      <w:r w:rsidR="00CF2097" w:rsidRPr="003915AB">
        <w:rPr>
          <w:rFonts w:asciiTheme="minorHAnsi" w:hAnsiTheme="minorHAnsi"/>
          <w:b/>
        </w:rPr>
        <w:t xml:space="preserve"> </w:t>
      </w:r>
      <w:r w:rsidRPr="003915AB">
        <w:rPr>
          <w:rFonts w:asciiTheme="minorHAnsi" w:hAnsiTheme="minorHAnsi"/>
          <w:b/>
        </w:rPr>
        <w:t>renewal</w:t>
      </w:r>
      <w:r w:rsidR="00CF2097">
        <w:rPr>
          <w:rFonts w:asciiTheme="minorHAnsi" w:hAnsiTheme="minorHAnsi"/>
        </w:rPr>
        <w:t xml:space="preserve"> </w:t>
      </w:r>
      <w:r w:rsidR="00FD3AB4">
        <w:rPr>
          <w:rFonts w:asciiTheme="minorHAnsi" w:hAnsiTheme="minorHAnsi"/>
        </w:rPr>
        <w:t xml:space="preserve">will be changed </w:t>
      </w:r>
      <w:r w:rsidR="00551B38">
        <w:rPr>
          <w:rFonts w:asciiTheme="minorHAnsi" w:hAnsiTheme="minorHAnsi"/>
        </w:rPr>
        <w:t xml:space="preserve">in 2018 </w:t>
      </w:r>
      <w:r w:rsidR="00FD3AB4">
        <w:rPr>
          <w:rFonts w:asciiTheme="minorHAnsi" w:hAnsiTheme="minorHAnsi"/>
        </w:rPr>
        <w:t xml:space="preserve">to </w:t>
      </w:r>
      <w:r w:rsidRPr="00CF2097">
        <w:rPr>
          <w:rFonts w:asciiTheme="minorHAnsi" w:hAnsiTheme="minorHAnsi"/>
        </w:rPr>
        <w:t>require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30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 xml:space="preserve">clock hours of continuing education </w:t>
      </w:r>
      <w:r w:rsidRPr="00CF2097">
        <w:rPr>
          <w:rFonts w:asciiTheme="minorHAnsi" w:hAnsiTheme="minorHAnsi"/>
        </w:rPr>
        <w:t>in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 w:rsidR="00CF2097">
        <w:rPr>
          <w:rFonts w:asciiTheme="minorHAnsi" w:hAnsiTheme="minorHAnsi"/>
        </w:rPr>
        <w:t xml:space="preserve"> </w:t>
      </w:r>
      <w:proofErr w:type="gramStart"/>
      <w:r w:rsidR="00FD3AB4">
        <w:rPr>
          <w:rFonts w:asciiTheme="minorHAnsi" w:hAnsiTheme="minorHAnsi"/>
        </w:rPr>
        <w:t>3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year</w:t>
      </w:r>
      <w:proofErr w:type="gramEnd"/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period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 xml:space="preserve">which </w:t>
      </w:r>
      <w:r w:rsidR="00FD3AB4">
        <w:rPr>
          <w:rFonts w:asciiTheme="minorHAnsi" w:hAnsiTheme="minorHAnsi"/>
        </w:rPr>
        <w:t xml:space="preserve">will </w:t>
      </w:r>
      <w:r w:rsidRPr="00CF2097">
        <w:rPr>
          <w:rFonts w:asciiTheme="minorHAnsi" w:hAnsiTheme="minorHAnsi"/>
        </w:rPr>
        <w:t>align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with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licensure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renewal</w:t>
      </w:r>
      <w:r w:rsidR="00CF2097">
        <w:rPr>
          <w:rFonts w:asciiTheme="minorHAnsi" w:hAnsiTheme="minorHAnsi"/>
        </w:rPr>
        <w:t xml:space="preserve"> </w:t>
      </w:r>
      <w:r w:rsidR="00FD3AB4">
        <w:rPr>
          <w:rFonts w:asciiTheme="minorHAnsi" w:hAnsiTheme="minorHAnsi"/>
        </w:rPr>
        <w:t xml:space="preserve">period of </w:t>
      </w:r>
      <w:r w:rsidRPr="00CF2097">
        <w:rPr>
          <w:rFonts w:asciiTheme="minorHAnsi" w:hAnsiTheme="minorHAnsi"/>
        </w:rPr>
        <w:t>every</w:t>
      </w:r>
      <w:r w:rsidR="00CF2097">
        <w:rPr>
          <w:rFonts w:asciiTheme="minorHAnsi" w:hAnsiTheme="minorHAnsi"/>
        </w:rPr>
        <w:t xml:space="preserve"> </w:t>
      </w:r>
      <w:r w:rsidR="00FD3AB4">
        <w:rPr>
          <w:rFonts w:asciiTheme="minorHAnsi" w:hAnsiTheme="minorHAnsi"/>
        </w:rPr>
        <w:t>3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>years</w:t>
      </w:r>
      <w:r w:rsidR="00551B38">
        <w:rPr>
          <w:rFonts w:asciiTheme="minorHAnsi" w:hAnsiTheme="minorHAnsi"/>
        </w:rPr>
        <w:t xml:space="preserve"> (changed from every 2 years)</w:t>
      </w:r>
      <w:r w:rsidRPr="00CF2097">
        <w:rPr>
          <w:rFonts w:asciiTheme="minorHAnsi" w:hAnsiTheme="minorHAnsi"/>
        </w:rPr>
        <w:t>.</w:t>
      </w:r>
      <w:r w:rsidR="00CF2097">
        <w:rPr>
          <w:rFonts w:asciiTheme="minorHAnsi" w:hAnsiTheme="minorHAnsi"/>
        </w:rPr>
        <w:t xml:space="preserve">  </w:t>
      </w:r>
      <w:r w:rsidRPr="00CF2097">
        <w:rPr>
          <w:rFonts w:asciiTheme="minorHAnsi" w:hAnsiTheme="minorHAnsi"/>
        </w:rPr>
        <w:t>Of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 w:rsidR="000748B4">
        <w:rPr>
          <w:rFonts w:asciiTheme="minorHAnsi" w:hAnsiTheme="minorHAnsi"/>
        </w:rPr>
        <w:t xml:space="preserve">se </w:t>
      </w:r>
      <w:r w:rsidRPr="00CF2097">
        <w:rPr>
          <w:rFonts w:asciiTheme="minorHAnsi" w:hAnsiTheme="minorHAnsi"/>
        </w:rPr>
        <w:t>30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 xml:space="preserve">clock </w:t>
      </w:r>
      <w:r w:rsidRPr="00CF2097">
        <w:rPr>
          <w:rFonts w:asciiTheme="minorHAnsi" w:hAnsiTheme="minorHAnsi"/>
        </w:rPr>
        <w:t>hours,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minimum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of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20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 xml:space="preserve">must be </w:t>
      </w:r>
      <w:r w:rsidRPr="00CF2097">
        <w:rPr>
          <w:rFonts w:asciiTheme="minorHAnsi" w:hAnsiTheme="minorHAnsi"/>
        </w:rPr>
        <w:t>approved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or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sponsored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by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one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of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long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list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of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entities/organizations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 xml:space="preserve">that includes: </w:t>
      </w:r>
    </w:p>
    <w:p w:rsidR="000748B4" w:rsidRPr="00551B38" w:rsidRDefault="000748B4" w:rsidP="00551B3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1B38">
        <w:rPr>
          <w:rFonts w:asciiTheme="minorHAnsi" w:hAnsiTheme="minorHAnsi"/>
        </w:rPr>
        <w:t>Department of Elementary and Secondary Education (DESE)</w:t>
      </w:r>
    </w:p>
    <w:p w:rsidR="000748B4" w:rsidRPr="00551B38" w:rsidRDefault="000748B4" w:rsidP="00551B3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1B38">
        <w:rPr>
          <w:rFonts w:asciiTheme="minorHAnsi" w:hAnsiTheme="minorHAnsi"/>
        </w:rPr>
        <w:t xml:space="preserve">Council for Exceptional Children (CEC) – this includes MO-CASE and all other CEC divisions </w:t>
      </w:r>
    </w:p>
    <w:p w:rsidR="00584674" w:rsidRPr="00551B38" w:rsidRDefault="00584674" w:rsidP="00551B3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1B38">
        <w:rPr>
          <w:rFonts w:asciiTheme="minorHAnsi" w:hAnsiTheme="minorHAnsi"/>
        </w:rPr>
        <w:t>American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Speech-Language-Hearing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Association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(ASHA)</w:t>
      </w:r>
    </w:p>
    <w:p w:rsidR="00584674" w:rsidRPr="00551B38" w:rsidRDefault="00584674" w:rsidP="00551B3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1B38">
        <w:rPr>
          <w:rFonts w:asciiTheme="minorHAnsi" w:hAnsiTheme="minorHAnsi"/>
        </w:rPr>
        <w:t>Missouri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Speech-Language-Hearing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Association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(MSHA)</w:t>
      </w:r>
    </w:p>
    <w:p w:rsidR="00584674" w:rsidRPr="00551B38" w:rsidRDefault="00584674" w:rsidP="00551B38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551B38">
        <w:rPr>
          <w:rFonts w:asciiTheme="minorHAnsi" w:hAnsiTheme="minorHAnsi"/>
        </w:rPr>
        <w:t>Missouri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Academy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of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Audiology</w:t>
      </w:r>
      <w:r w:rsidR="00CF2097" w:rsidRPr="00551B38">
        <w:rPr>
          <w:rFonts w:asciiTheme="minorHAnsi" w:hAnsiTheme="minorHAnsi"/>
        </w:rPr>
        <w:t xml:space="preserve"> </w:t>
      </w:r>
      <w:r w:rsidRPr="00551B38">
        <w:rPr>
          <w:rFonts w:asciiTheme="minorHAnsi" w:hAnsiTheme="minorHAnsi"/>
        </w:rPr>
        <w:t>(MAA)</w:t>
      </w:r>
    </w:p>
    <w:p w:rsidR="000748B4" w:rsidRDefault="003915AB" w:rsidP="00CF20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0748B4">
        <w:rPr>
          <w:rFonts w:asciiTheme="minorHAnsi" w:hAnsiTheme="minorHAnsi"/>
        </w:rPr>
        <w:t xml:space="preserve">full list of organizations who can provide these 20 hours </w:t>
      </w:r>
      <w:r>
        <w:rPr>
          <w:rFonts w:asciiTheme="minorHAnsi" w:hAnsiTheme="minorHAnsi"/>
        </w:rPr>
        <w:t xml:space="preserve">can be found on </w:t>
      </w:r>
      <w:r w:rsidR="000748B4">
        <w:rPr>
          <w:rFonts w:asciiTheme="minorHAnsi" w:hAnsiTheme="minorHAnsi"/>
        </w:rPr>
        <w:t xml:space="preserve">page 5 of the </w:t>
      </w:r>
      <w:hyperlink r:id="rId5" w:history="1">
        <w:r w:rsidR="000748B4" w:rsidRPr="00551B38">
          <w:rPr>
            <w:rStyle w:val="Hyperlink"/>
            <w:rFonts w:asciiTheme="minorHAnsi" w:hAnsiTheme="minorHAnsi"/>
          </w:rPr>
          <w:t>SLP rules</w:t>
        </w:r>
      </w:hyperlink>
      <w:r w:rsidR="000748B4">
        <w:rPr>
          <w:rFonts w:asciiTheme="minorHAnsi" w:hAnsiTheme="minorHAnsi"/>
        </w:rPr>
        <w:t xml:space="preserve">.  </w:t>
      </w:r>
    </w:p>
    <w:p w:rsidR="000748B4" w:rsidRPr="00CF2097" w:rsidRDefault="000748B4" w:rsidP="00CF2097">
      <w:pPr>
        <w:rPr>
          <w:rFonts w:asciiTheme="minorHAnsi" w:hAnsiTheme="minorHAnsi"/>
        </w:rPr>
      </w:pPr>
    </w:p>
    <w:p w:rsidR="003915AB" w:rsidRDefault="00584674" w:rsidP="003915AB">
      <w:pPr>
        <w:rPr>
          <w:rFonts w:asciiTheme="minorHAnsi" w:hAnsiTheme="minorHAnsi"/>
        </w:rPr>
      </w:pPr>
      <w:r w:rsidRPr="00CF2097">
        <w:rPr>
          <w:rFonts w:asciiTheme="minorHAnsi" w:hAnsiTheme="minorHAnsi"/>
        </w:rPr>
        <w:t>The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other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10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hours</w:t>
      </w:r>
      <w:r w:rsidR="00CF2097">
        <w:rPr>
          <w:rFonts w:asciiTheme="minorHAnsi" w:hAnsiTheme="minorHAnsi"/>
        </w:rPr>
        <w:t xml:space="preserve"> </w:t>
      </w:r>
      <w:r w:rsidR="000748B4">
        <w:rPr>
          <w:rFonts w:asciiTheme="minorHAnsi" w:hAnsiTheme="minorHAnsi"/>
        </w:rPr>
        <w:t>can be provided by any entity a</w:t>
      </w:r>
      <w:r w:rsidR="003915AB">
        <w:rPr>
          <w:rFonts w:asciiTheme="minorHAnsi" w:hAnsiTheme="minorHAnsi"/>
        </w:rPr>
        <w:t xml:space="preserve">s long as the content is </w:t>
      </w:r>
      <w:r w:rsidRPr="00CF2097">
        <w:rPr>
          <w:rFonts w:asciiTheme="minorHAnsi" w:hAnsiTheme="minorHAnsi"/>
        </w:rPr>
        <w:t>appropriate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to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profession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and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documented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by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third</w:t>
      </w:r>
      <w:r w:rsidR="00CF2097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party</w:t>
      </w:r>
      <w:r w:rsidR="003915AB">
        <w:rPr>
          <w:rFonts w:asciiTheme="minorHAnsi" w:hAnsiTheme="minorHAnsi"/>
        </w:rPr>
        <w:t xml:space="preserve"> such as a school district or the </w:t>
      </w:r>
      <w:r w:rsidR="003915AB" w:rsidRPr="00CF2097">
        <w:rPr>
          <w:rFonts w:asciiTheme="minorHAnsi" w:hAnsiTheme="minorHAnsi"/>
        </w:rPr>
        <w:t>association</w:t>
      </w:r>
      <w:r w:rsidR="003915AB">
        <w:rPr>
          <w:rFonts w:asciiTheme="minorHAnsi" w:hAnsiTheme="minorHAnsi"/>
        </w:rPr>
        <w:t xml:space="preserve"> or </w:t>
      </w:r>
      <w:r w:rsidR="003915AB" w:rsidRPr="00CF2097">
        <w:rPr>
          <w:rFonts w:asciiTheme="minorHAnsi" w:hAnsiTheme="minorHAnsi"/>
        </w:rPr>
        <w:t>organization</w:t>
      </w:r>
      <w:r w:rsidR="003915AB">
        <w:rPr>
          <w:rFonts w:asciiTheme="minorHAnsi" w:hAnsiTheme="minorHAnsi"/>
        </w:rPr>
        <w:t xml:space="preserve"> </w:t>
      </w:r>
      <w:r w:rsidR="003915AB" w:rsidRPr="00CF2097">
        <w:rPr>
          <w:rFonts w:asciiTheme="minorHAnsi" w:hAnsiTheme="minorHAnsi"/>
        </w:rPr>
        <w:t>providing</w:t>
      </w:r>
      <w:r w:rsidR="003915AB">
        <w:rPr>
          <w:rFonts w:asciiTheme="minorHAnsi" w:hAnsiTheme="minorHAnsi"/>
        </w:rPr>
        <w:t xml:space="preserve"> </w:t>
      </w:r>
      <w:r w:rsidR="003915AB" w:rsidRPr="00CF2097">
        <w:rPr>
          <w:rFonts w:asciiTheme="minorHAnsi" w:hAnsiTheme="minorHAnsi"/>
        </w:rPr>
        <w:t>the</w:t>
      </w:r>
      <w:r w:rsidR="003915AB">
        <w:rPr>
          <w:rFonts w:asciiTheme="minorHAnsi" w:hAnsiTheme="minorHAnsi"/>
        </w:rPr>
        <w:t xml:space="preserve"> professional development hour(s). </w:t>
      </w:r>
    </w:p>
    <w:p w:rsidR="003915AB" w:rsidRDefault="003915AB" w:rsidP="003915AB">
      <w:pPr>
        <w:rPr>
          <w:rFonts w:asciiTheme="minorHAnsi" w:hAnsiTheme="minorHAnsi"/>
        </w:rPr>
      </w:pPr>
    </w:p>
    <w:p w:rsidR="003915AB" w:rsidRDefault="003915AB" w:rsidP="00CF209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Documentation for all 30 hours can be a </w:t>
      </w:r>
      <w:r w:rsidRPr="003915AB">
        <w:rPr>
          <w:rFonts w:asciiTheme="minorHAnsi" w:hAnsiTheme="minorHAnsi"/>
        </w:rPr>
        <w:t>certi</w:t>
      </w:r>
      <w:r>
        <w:rPr>
          <w:rFonts w:asciiTheme="minorHAnsi" w:hAnsiTheme="minorHAnsi"/>
        </w:rPr>
        <w:t xml:space="preserve">ficate of attendance which contains the date, </w:t>
      </w:r>
      <w:r w:rsidRPr="003915AB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title and presenter(s) and site for the professional development, the </w:t>
      </w:r>
      <w:r w:rsidRPr="003915AB">
        <w:rPr>
          <w:rFonts w:asciiTheme="minorHAnsi" w:hAnsiTheme="minorHAnsi"/>
        </w:rPr>
        <w:t>number of clock hours attended,</w:t>
      </w:r>
      <w:r>
        <w:rPr>
          <w:rFonts w:asciiTheme="minorHAnsi" w:hAnsiTheme="minorHAnsi"/>
        </w:rPr>
        <w:t xml:space="preserve"> the </w:t>
      </w:r>
      <w:r w:rsidRPr="003915AB">
        <w:rPr>
          <w:rFonts w:asciiTheme="minorHAnsi" w:hAnsiTheme="minorHAnsi"/>
        </w:rPr>
        <w:t>name of sponsor</w:t>
      </w:r>
      <w:r>
        <w:rPr>
          <w:rFonts w:asciiTheme="minorHAnsi" w:hAnsiTheme="minorHAnsi"/>
        </w:rPr>
        <w:t>ing entity/organization</w:t>
      </w:r>
      <w:r w:rsidRPr="003915AB">
        <w:rPr>
          <w:rFonts w:asciiTheme="minorHAnsi" w:hAnsiTheme="minorHAnsi"/>
        </w:rPr>
        <w:t>, and name of licensee; or</w:t>
      </w:r>
      <w:r>
        <w:rPr>
          <w:rFonts w:asciiTheme="minorHAnsi" w:hAnsiTheme="minorHAnsi"/>
        </w:rPr>
        <w:t xml:space="preserve"> a</w:t>
      </w:r>
      <w:r w:rsidRPr="003915AB">
        <w:rPr>
          <w:rFonts w:asciiTheme="minorHAnsi" w:hAnsiTheme="minorHAnsi"/>
        </w:rPr>
        <w:t xml:space="preserve"> personal letter to the licensee which</w:t>
      </w:r>
      <w:r>
        <w:rPr>
          <w:rFonts w:asciiTheme="minorHAnsi" w:hAnsiTheme="minorHAnsi"/>
        </w:rPr>
        <w:t xml:space="preserve"> </w:t>
      </w:r>
      <w:r w:rsidRPr="003915AB">
        <w:rPr>
          <w:rFonts w:asciiTheme="minorHAnsi" w:hAnsiTheme="minorHAnsi"/>
        </w:rPr>
        <w:t xml:space="preserve">contains the </w:t>
      </w:r>
      <w:r>
        <w:rPr>
          <w:rFonts w:asciiTheme="minorHAnsi" w:hAnsiTheme="minorHAnsi"/>
        </w:rPr>
        <w:t xml:space="preserve">same information and is signed by an </w:t>
      </w:r>
      <w:r w:rsidRPr="003915AB">
        <w:rPr>
          <w:rFonts w:asciiTheme="minorHAnsi" w:hAnsiTheme="minorHAnsi"/>
        </w:rPr>
        <w:t>official</w:t>
      </w:r>
      <w:r>
        <w:rPr>
          <w:rFonts w:asciiTheme="minorHAnsi" w:hAnsiTheme="minorHAnsi"/>
        </w:rPr>
        <w:t xml:space="preserve"> of the sponsoring entity/organization.  </w:t>
      </w:r>
    </w:p>
    <w:p w:rsidR="00584674" w:rsidRDefault="00584674" w:rsidP="00CF2097">
      <w:pPr>
        <w:rPr>
          <w:rFonts w:asciiTheme="minorHAnsi" w:hAnsiTheme="minorHAnsi"/>
        </w:rPr>
      </w:pPr>
    </w:p>
    <w:p w:rsidR="000748B4" w:rsidRDefault="000748B4" w:rsidP="000748B4">
      <w:pPr>
        <w:rPr>
          <w:rFonts w:asciiTheme="minorHAnsi" w:hAnsiTheme="minorHAnsi"/>
        </w:rPr>
      </w:pPr>
      <w:r w:rsidRPr="00A72414">
        <w:rPr>
          <w:rFonts w:asciiTheme="minorHAnsi" w:hAnsiTheme="minorHAnsi"/>
          <w:b/>
        </w:rPr>
        <w:t>ASHA CCC renewal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requires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</w:t>
      </w:r>
      <w:r w:rsidR="00A72414">
        <w:rPr>
          <w:rFonts w:asciiTheme="minorHAnsi" w:hAnsiTheme="minorHAnsi"/>
        </w:rPr>
        <w:t xml:space="preserve">clock </w:t>
      </w:r>
      <w:r w:rsidRPr="00CF2097">
        <w:rPr>
          <w:rFonts w:asciiTheme="minorHAnsi" w:hAnsiTheme="minorHAnsi"/>
        </w:rPr>
        <w:t>hours</w:t>
      </w:r>
      <w:r>
        <w:rPr>
          <w:rFonts w:asciiTheme="minorHAnsi" w:hAnsiTheme="minorHAnsi"/>
        </w:rPr>
        <w:t xml:space="preserve"> </w:t>
      </w:r>
      <w:r w:rsidR="00A72414">
        <w:rPr>
          <w:rFonts w:asciiTheme="minorHAnsi" w:hAnsiTheme="minorHAnsi"/>
        </w:rPr>
        <w:t xml:space="preserve">of continuing education </w:t>
      </w:r>
      <w:r w:rsidRPr="00CF2097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proofErr w:type="gramStart"/>
      <w:r w:rsidRPr="00CF2097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year</w:t>
      </w:r>
      <w:proofErr w:type="gramEnd"/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period</w:t>
      </w:r>
      <w:r>
        <w:rPr>
          <w:rFonts w:asciiTheme="minorHAnsi" w:hAnsiTheme="minorHAnsi"/>
        </w:rPr>
        <w:t xml:space="preserve"> </w:t>
      </w:r>
      <w:r w:rsidR="00A72414">
        <w:rPr>
          <w:rFonts w:asciiTheme="minorHAnsi" w:hAnsiTheme="minorHAnsi"/>
        </w:rPr>
        <w:t xml:space="preserve">which again corresponds to the renewal period for the CCC.  </w:t>
      </w:r>
      <w:r w:rsidR="00FD3AB4">
        <w:rPr>
          <w:rFonts w:asciiTheme="minorHAnsi" w:hAnsiTheme="minorHAnsi"/>
        </w:rPr>
        <w:t xml:space="preserve">(Please note that the CCC </w:t>
      </w:r>
      <w:proofErr w:type="gramStart"/>
      <w:r w:rsidR="00FD3AB4">
        <w:rPr>
          <w:rFonts w:asciiTheme="minorHAnsi" w:hAnsiTheme="minorHAnsi"/>
        </w:rPr>
        <w:t>3 year</w:t>
      </w:r>
      <w:proofErr w:type="gramEnd"/>
      <w:r w:rsidR="00FD3AB4">
        <w:rPr>
          <w:rFonts w:asciiTheme="minorHAnsi" w:hAnsiTheme="minorHAnsi"/>
        </w:rPr>
        <w:t xml:space="preserve"> renewal period may not be the same as for licensure.) </w:t>
      </w:r>
      <w:r w:rsidR="00A72414">
        <w:rPr>
          <w:rFonts w:asciiTheme="minorHAnsi" w:hAnsiTheme="minorHAnsi"/>
        </w:rPr>
        <w:t xml:space="preserve">These </w:t>
      </w:r>
      <w:r w:rsidRPr="00CF2097">
        <w:rPr>
          <w:rFonts w:asciiTheme="minorHAnsi" w:hAnsiTheme="minorHAnsi"/>
        </w:rPr>
        <w:t>30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hours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can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be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anything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that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supports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SLP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in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providing</w:t>
      </w:r>
      <w:r>
        <w:rPr>
          <w:rFonts w:asciiTheme="minorHAnsi" w:hAnsiTheme="minorHAnsi"/>
        </w:rPr>
        <w:t xml:space="preserve"> </w:t>
      </w:r>
      <w:r w:rsidR="00A72414">
        <w:rPr>
          <w:rFonts w:asciiTheme="minorHAnsi" w:hAnsiTheme="minorHAnsi"/>
        </w:rPr>
        <w:t xml:space="preserve">speech language </w:t>
      </w:r>
      <w:r w:rsidRPr="00CF2097">
        <w:rPr>
          <w:rFonts w:asciiTheme="minorHAnsi" w:hAnsiTheme="minorHAnsi"/>
        </w:rPr>
        <w:t>services.</w:t>
      </w:r>
      <w:r>
        <w:rPr>
          <w:rFonts w:asciiTheme="minorHAnsi" w:hAnsiTheme="minorHAnsi"/>
        </w:rPr>
        <w:t xml:space="preserve">  </w:t>
      </w:r>
      <w:r w:rsidR="00B15BF9">
        <w:rPr>
          <w:rFonts w:asciiTheme="minorHAnsi" w:hAnsiTheme="minorHAnsi"/>
        </w:rPr>
        <w:t>There is no specific list of organizations that must sponsor a specific number of these clock hours.  The documentation requirements are almost identical to those above for the state license, i.e. the clock hours must be d</w:t>
      </w:r>
      <w:r w:rsidRPr="00CF2097">
        <w:rPr>
          <w:rFonts w:asciiTheme="minorHAnsi" w:hAnsiTheme="minorHAnsi"/>
        </w:rPr>
        <w:t>ocumented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by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third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party</w:t>
      </w:r>
      <w:r w:rsidR="00B15BF9"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which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can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be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school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district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or</w:t>
      </w:r>
      <w:r>
        <w:rPr>
          <w:rFonts w:asciiTheme="minorHAnsi" w:hAnsiTheme="minorHAnsi"/>
        </w:rPr>
        <w:t xml:space="preserve"> </w:t>
      </w:r>
      <w:r w:rsidR="00B15BF9">
        <w:rPr>
          <w:rFonts w:asciiTheme="minorHAnsi" w:hAnsiTheme="minorHAnsi"/>
        </w:rPr>
        <w:t>the entity</w:t>
      </w:r>
      <w:r w:rsidRPr="00CF2097">
        <w:rPr>
          <w:rFonts w:asciiTheme="minorHAnsi" w:hAnsiTheme="minorHAnsi"/>
        </w:rPr>
        <w:t>/organization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providing</w:t>
      </w:r>
      <w:r>
        <w:rPr>
          <w:rFonts w:asciiTheme="minorHAnsi" w:hAnsiTheme="minorHAnsi"/>
        </w:rPr>
        <w:t xml:space="preserve"> </w:t>
      </w:r>
      <w:r w:rsidRPr="00CF2097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 </w:t>
      </w:r>
      <w:r w:rsidR="00B15BF9">
        <w:rPr>
          <w:rFonts w:asciiTheme="minorHAnsi" w:hAnsiTheme="minorHAnsi"/>
        </w:rPr>
        <w:t xml:space="preserve">professional development with information about the content, date, and clock hours attended. </w:t>
      </w:r>
    </w:p>
    <w:p w:rsidR="00B15BF9" w:rsidRDefault="00B15BF9" w:rsidP="000748B4">
      <w:pPr>
        <w:rPr>
          <w:rFonts w:asciiTheme="minorHAnsi" w:hAnsiTheme="minorHAnsi"/>
        </w:rPr>
      </w:pPr>
    </w:p>
    <w:p w:rsidR="000748B4" w:rsidRDefault="00CF070F" w:rsidP="000748B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practical terms, this means that an SLP who attends the MO-CASE fall conference for 15 clock hours of attendance for two </w:t>
      </w:r>
      <w:r w:rsidR="00FD3AB4">
        <w:rPr>
          <w:rFonts w:asciiTheme="minorHAnsi" w:hAnsiTheme="minorHAnsi"/>
        </w:rPr>
        <w:t xml:space="preserve">out of three </w:t>
      </w:r>
      <w:r>
        <w:rPr>
          <w:rFonts w:asciiTheme="minorHAnsi" w:hAnsiTheme="minorHAnsi"/>
        </w:rPr>
        <w:t xml:space="preserve">years will have 30 hours of continuing education that will satisfy the requirements for state license renewal and for ASHA CCC renewal.  </w:t>
      </w:r>
      <w:r w:rsidR="00FD3AB4">
        <w:rPr>
          <w:rFonts w:asciiTheme="minorHAnsi" w:hAnsiTheme="minorHAnsi"/>
        </w:rPr>
        <w:t xml:space="preserve">Or attending the Collaborative Conference for 8 hours for three years along with 6 hours of local PD will satisfy the renewal requirements.  </w:t>
      </w:r>
      <w:r w:rsidR="00E45B9C">
        <w:rPr>
          <w:rFonts w:asciiTheme="minorHAnsi" w:hAnsiTheme="minorHAnsi"/>
        </w:rPr>
        <w:t xml:space="preserve">If you have suggestions for ways that MO-CASE can better support SLPs with our </w:t>
      </w:r>
      <w:r w:rsidR="00FD3AB4">
        <w:rPr>
          <w:rFonts w:asciiTheme="minorHAnsi" w:hAnsiTheme="minorHAnsi"/>
        </w:rPr>
        <w:t xml:space="preserve">PD </w:t>
      </w:r>
      <w:r w:rsidR="001862B0">
        <w:rPr>
          <w:rFonts w:asciiTheme="minorHAnsi" w:hAnsiTheme="minorHAnsi"/>
        </w:rPr>
        <w:t xml:space="preserve">or if you have questions, </w:t>
      </w:r>
      <w:r w:rsidR="00E45B9C">
        <w:rPr>
          <w:rFonts w:asciiTheme="minorHAnsi" w:hAnsiTheme="minorHAnsi"/>
        </w:rPr>
        <w:t>p</w:t>
      </w:r>
      <w:r>
        <w:rPr>
          <w:rFonts w:asciiTheme="minorHAnsi" w:hAnsiTheme="minorHAnsi"/>
        </w:rPr>
        <w:t xml:space="preserve">lease </w:t>
      </w:r>
      <w:r w:rsidR="00E45B9C">
        <w:rPr>
          <w:rFonts w:asciiTheme="minorHAnsi" w:hAnsiTheme="minorHAnsi"/>
        </w:rPr>
        <w:t xml:space="preserve">contact </w:t>
      </w:r>
      <w:hyperlink r:id="rId6" w:history="1">
        <w:r w:rsidRPr="002A6FA6">
          <w:rPr>
            <w:rStyle w:val="Hyperlink"/>
            <w:rFonts w:asciiTheme="minorHAnsi" w:hAnsiTheme="minorHAnsi"/>
          </w:rPr>
          <w:t>diane.mocase@gmail.com</w:t>
        </w:r>
      </w:hyperlink>
      <w:r>
        <w:rPr>
          <w:rFonts w:asciiTheme="minorHAnsi" w:hAnsiTheme="minorHAnsi"/>
        </w:rPr>
        <w:t xml:space="preserve">. </w:t>
      </w:r>
    </w:p>
    <w:p w:rsidR="00FD3AB4" w:rsidRDefault="00FD3AB4" w:rsidP="000748B4">
      <w:pPr>
        <w:rPr>
          <w:rFonts w:asciiTheme="minorHAnsi" w:hAnsiTheme="minorHAnsi"/>
        </w:rPr>
      </w:pPr>
    </w:p>
    <w:p w:rsidR="00551B38" w:rsidRDefault="00551B38" w:rsidP="000748B4">
      <w:pPr>
        <w:rPr>
          <w:rFonts w:asciiTheme="minorHAnsi" w:hAnsiTheme="minorHAnsi"/>
        </w:rPr>
      </w:pPr>
    </w:p>
    <w:p w:rsidR="00FD3AB4" w:rsidRPr="00551B38" w:rsidRDefault="00FD3AB4" w:rsidP="00FD3AB4">
      <w:pPr>
        <w:jc w:val="right"/>
        <w:rPr>
          <w:rFonts w:asciiTheme="minorHAnsi" w:hAnsiTheme="minorHAnsi"/>
          <w:i/>
          <w:sz w:val="20"/>
          <w:szCs w:val="20"/>
        </w:rPr>
      </w:pPr>
      <w:r w:rsidRPr="00551B38">
        <w:rPr>
          <w:rFonts w:asciiTheme="minorHAnsi" w:hAnsiTheme="minorHAnsi"/>
          <w:i/>
          <w:sz w:val="20"/>
          <w:szCs w:val="20"/>
        </w:rPr>
        <w:t>Updated June 2017</w:t>
      </w:r>
    </w:p>
    <w:sectPr w:rsidR="00FD3AB4" w:rsidRPr="00551B38" w:rsidSect="00551B38">
      <w:pgSz w:w="12240" w:h="15840"/>
      <w:pgMar w:top="1296" w:right="1296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D2ACF"/>
    <w:multiLevelType w:val="hybridMultilevel"/>
    <w:tmpl w:val="E836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F1E37"/>
    <w:multiLevelType w:val="hybridMultilevel"/>
    <w:tmpl w:val="65247864"/>
    <w:lvl w:ilvl="0" w:tplc="FB72E5C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74"/>
    <w:rsid w:val="000748B4"/>
    <w:rsid w:val="001862B0"/>
    <w:rsid w:val="003915AB"/>
    <w:rsid w:val="00551B38"/>
    <w:rsid w:val="00584674"/>
    <w:rsid w:val="00972EFB"/>
    <w:rsid w:val="00A72414"/>
    <w:rsid w:val="00B15BF9"/>
    <w:rsid w:val="00BB0321"/>
    <w:rsid w:val="00BF40D5"/>
    <w:rsid w:val="00CF070F"/>
    <w:rsid w:val="00CF2097"/>
    <w:rsid w:val="00E34C40"/>
    <w:rsid w:val="00E45B9C"/>
    <w:rsid w:val="00F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77D858-4C43-4EB3-82A0-EAB26743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8467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F40D5"/>
    <w:rPr>
      <w:rFonts w:ascii="Verdana" w:eastAsiaTheme="majorEastAsia" w:hAnsi="Verdana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F40D5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</w:rPr>
  </w:style>
  <w:style w:type="paragraph" w:styleId="ListParagraph">
    <w:name w:val="List Paragraph"/>
    <w:basedOn w:val="Normal"/>
    <w:uiPriority w:val="34"/>
    <w:qFormat/>
    <w:rsid w:val="00CF20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8B4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551B38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51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e.mocase@gmail.com" TargetMode="External"/><Relationship Id="rId5" Type="http://schemas.openxmlformats.org/officeDocument/2006/relationships/hyperlink" Target="http://s1.sos.mo.gov/cmsimages/adrules/csr/current/20csr/20c2150-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</dc:creator>
  <cp:keywords/>
  <dc:description/>
  <cp:lastModifiedBy>sbclime</cp:lastModifiedBy>
  <cp:revision>2</cp:revision>
  <dcterms:created xsi:type="dcterms:W3CDTF">2017-06-07T19:52:00Z</dcterms:created>
  <dcterms:modified xsi:type="dcterms:W3CDTF">2017-06-07T19:52:00Z</dcterms:modified>
</cp:coreProperties>
</file>